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97EA" w14:textId="182FD1CE" w:rsidR="003B33EB" w:rsidRPr="003B6450" w:rsidRDefault="003D3D22" w:rsidP="003D3D22">
      <w:pPr>
        <w:jc w:val="right"/>
        <w:rPr>
          <w:rFonts w:ascii="Meiryo UI" w:eastAsia="Meiryo UI" w:hAnsi="Meiryo UI"/>
        </w:rPr>
      </w:pPr>
      <w:r w:rsidRPr="003B6450">
        <w:rPr>
          <w:rFonts w:ascii="Meiryo UI" w:eastAsia="Meiryo UI" w:hAnsi="Meiryo UI" w:hint="eastAsia"/>
        </w:rPr>
        <w:t>令和５年７月</w:t>
      </w:r>
      <w:r w:rsidR="004149E7">
        <w:rPr>
          <w:rFonts w:ascii="Meiryo UI" w:eastAsia="Meiryo UI" w:hAnsi="Meiryo UI" w:hint="eastAsia"/>
        </w:rPr>
        <w:t>１１</w:t>
      </w:r>
      <w:r w:rsidRPr="003B6450">
        <w:rPr>
          <w:rFonts w:ascii="Meiryo UI" w:eastAsia="Meiryo UI" w:hAnsi="Meiryo UI" w:hint="eastAsia"/>
        </w:rPr>
        <w:t>日</w:t>
      </w:r>
    </w:p>
    <w:p w14:paraId="7D37F02D" w14:textId="0E5CAE1A" w:rsidR="00054DF2" w:rsidRDefault="00054DF2" w:rsidP="003D3D22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支部長</w:t>
      </w:r>
      <w:r w:rsidR="00626F1C">
        <w:rPr>
          <w:rFonts w:ascii="Meiryo UI" w:eastAsia="Meiryo UI" w:hAnsi="Meiryo UI" w:hint="eastAsia"/>
        </w:rPr>
        <w:t>各位</w:t>
      </w:r>
    </w:p>
    <w:p w14:paraId="1E8D4F9D" w14:textId="436A601B" w:rsidR="003D3D22" w:rsidRPr="003B6450" w:rsidRDefault="00054DF2" w:rsidP="003D3D22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学校</w:t>
      </w:r>
      <w:r w:rsidR="003D3D22" w:rsidRPr="003B6450">
        <w:rPr>
          <w:rFonts w:ascii="Meiryo UI" w:eastAsia="Meiryo UI" w:hAnsi="Meiryo UI" w:hint="eastAsia"/>
        </w:rPr>
        <w:t>関係</w:t>
      </w:r>
      <w:r w:rsidR="00626F1C">
        <w:rPr>
          <w:rFonts w:ascii="Meiryo UI" w:eastAsia="Meiryo UI" w:hAnsi="Meiryo UI" w:hint="eastAsia"/>
        </w:rPr>
        <w:t>者</w:t>
      </w:r>
      <w:r w:rsidR="003D3D22" w:rsidRPr="003B6450">
        <w:rPr>
          <w:rFonts w:ascii="Meiryo UI" w:eastAsia="Meiryo UI" w:hAnsi="Meiryo UI" w:hint="eastAsia"/>
        </w:rPr>
        <w:t>各位</w:t>
      </w:r>
    </w:p>
    <w:p w14:paraId="0AA3DE75" w14:textId="39DD7B3D" w:rsidR="003D3D22" w:rsidRPr="003B6450" w:rsidRDefault="003D3D22" w:rsidP="003D3D22">
      <w:pPr>
        <w:jc w:val="right"/>
        <w:rPr>
          <w:rFonts w:ascii="Meiryo UI" w:eastAsia="Meiryo UI" w:hAnsi="Meiryo UI"/>
        </w:rPr>
      </w:pPr>
      <w:r w:rsidRPr="003B6450">
        <w:rPr>
          <w:rFonts w:ascii="Meiryo UI" w:eastAsia="Meiryo UI" w:hAnsi="Meiryo UI" w:hint="eastAsia"/>
        </w:rPr>
        <w:t>東京都弓道連盟第二地区</w:t>
      </w:r>
    </w:p>
    <w:p w14:paraId="6C3958C4" w14:textId="285545BF" w:rsidR="003D3D22" w:rsidRPr="003B6450" w:rsidRDefault="003D3D22" w:rsidP="003D3D22">
      <w:pPr>
        <w:jc w:val="right"/>
        <w:rPr>
          <w:rFonts w:ascii="Meiryo UI" w:eastAsia="Meiryo UI" w:hAnsi="Meiryo UI"/>
        </w:rPr>
      </w:pPr>
      <w:r w:rsidRPr="003B6450">
        <w:rPr>
          <w:rFonts w:ascii="Meiryo UI" w:eastAsia="Meiryo UI" w:hAnsi="Meiryo UI" w:hint="eastAsia"/>
        </w:rPr>
        <w:t xml:space="preserve">会　長　　</w:t>
      </w:r>
      <w:r w:rsidR="001334A0">
        <w:rPr>
          <w:rFonts w:ascii="Meiryo UI" w:eastAsia="Meiryo UI" w:hAnsi="Meiryo UI" w:hint="eastAsia"/>
        </w:rPr>
        <w:t>礒</w:t>
      </w:r>
      <w:r w:rsidRPr="003B6450">
        <w:rPr>
          <w:rFonts w:ascii="Meiryo UI" w:eastAsia="Meiryo UI" w:hAnsi="Meiryo UI" w:hint="eastAsia"/>
        </w:rPr>
        <w:t xml:space="preserve">　部　　孝</w:t>
      </w:r>
    </w:p>
    <w:p w14:paraId="66090DC2" w14:textId="77777777" w:rsidR="003D3D22" w:rsidRPr="003B6450" w:rsidRDefault="003D3D22" w:rsidP="003D3D22">
      <w:pPr>
        <w:jc w:val="right"/>
        <w:rPr>
          <w:rFonts w:ascii="Meiryo UI" w:eastAsia="Meiryo UI" w:hAnsi="Meiryo UI"/>
        </w:rPr>
      </w:pPr>
    </w:p>
    <w:p w14:paraId="3132648C" w14:textId="25B64D71" w:rsidR="003D3D22" w:rsidRDefault="00BE265E" w:rsidP="003D3D22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二</w:t>
      </w:r>
      <w:r w:rsidR="003D3D22" w:rsidRPr="003B6450">
        <w:rPr>
          <w:rFonts w:ascii="Meiryo UI" w:eastAsia="Meiryo UI" w:hAnsi="Meiryo UI" w:hint="eastAsia"/>
        </w:rPr>
        <w:t>地区審査</w:t>
      </w:r>
      <w:r>
        <w:rPr>
          <w:rFonts w:ascii="Meiryo UI" w:eastAsia="Meiryo UI" w:hAnsi="Meiryo UI" w:hint="eastAsia"/>
        </w:rPr>
        <w:t>会</w:t>
      </w:r>
      <w:r w:rsidR="003D3D22" w:rsidRPr="003B6450">
        <w:rPr>
          <w:rFonts w:ascii="Meiryo UI" w:eastAsia="Meiryo UI" w:hAnsi="Meiryo UI" w:hint="eastAsia"/>
        </w:rPr>
        <w:t>における対応について</w:t>
      </w:r>
    </w:p>
    <w:p w14:paraId="6A1C27E9" w14:textId="77777777" w:rsidR="009F6D61" w:rsidRDefault="009F6D61" w:rsidP="003D3D22">
      <w:pPr>
        <w:jc w:val="center"/>
        <w:rPr>
          <w:rFonts w:ascii="Meiryo UI" w:eastAsia="Meiryo UI" w:hAnsi="Meiryo UI"/>
        </w:rPr>
      </w:pPr>
    </w:p>
    <w:p w14:paraId="31A10E8D" w14:textId="45699345" w:rsidR="003D3D22" w:rsidRDefault="009F6D61" w:rsidP="00054DF2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益財団法人全日本弓道連盟（以下、全弓連という）より、令和５年６月２３日付けで「基本計画部会での検討について（報告）」（全弓連発第５－２２号）が発出されましたが、その詳細について関東連合会より全弓連宛てに</w:t>
      </w:r>
      <w:r w:rsidR="001334A0">
        <w:rPr>
          <w:rFonts w:ascii="Meiryo UI" w:eastAsia="Meiryo UI" w:hAnsi="Meiryo UI" w:hint="eastAsia"/>
        </w:rPr>
        <w:t>照会</w:t>
      </w:r>
      <w:r>
        <w:rPr>
          <w:rFonts w:ascii="Meiryo UI" w:eastAsia="Meiryo UI" w:hAnsi="Meiryo UI" w:hint="eastAsia"/>
        </w:rPr>
        <w:t>中ですので、その結果が報告されるまでの間、</w:t>
      </w:r>
      <w:r w:rsidR="00054DF2">
        <w:rPr>
          <w:rFonts w:ascii="Meiryo UI" w:eastAsia="Meiryo UI" w:hAnsi="Meiryo UI" w:hint="eastAsia"/>
        </w:rPr>
        <w:t>二地区審査会におきましては下</w:t>
      </w:r>
      <w:r>
        <w:rPr>
          <w:rFonts w:ascii="Meiryo UI" w:eastAsia="Meiryo UI" w:hAnsi="Meiryo UI" w:hint="eastAsia"/>
        </w:rPr>
        <w:t>表のとおりの対応といたしますので、</w:t>
      </w:r>
      <w:r w:rsidR="00054DF2">
        <w:rPr>
          <w:rFonts w:ascii="Meiryo UI" w:eastAsia="Meiryo UI" w:hAnsi="Meiryo UI" w:hint="eastAsia"/>
        </w:rPr>
        <w:t>行き違いのないよう、</w:t>
      </w:r>
      <w:r>
        <w:rPr>
          <w:rFonts w:ascii="Meiryo UI" w:eastAsia="Meiryo UI" w:hAnsi="Meiryo UI" w:hint="eastAsia"/>
        </w:rPr>
        <w:t>よろしく</w:t>
      </w:r>
      <w:r w:rsidR="00054DF2">
        <w:rPr>
          <w:rFonts w:ascii="Meiryo UI" w:eastAsia="Meiryo UI" w:hAnsi="Meiryo UI" w:hint="eastAsia"/>
        </w:rPr>
        <w:t>お願いします。</w:t>
      </w:r>
    </w:p>
    <w:p w14:paraId="4B4C63EA" w14:textId="77777777" w:rsidR="009F6D61" w:rsidRPr="003B6450" w:rsidRDefault="009F6D61" w:rsidP="009F6D61">
      <w:pPr>
        <w:jc w:val="left"/>
        <w:rPr>
          <w:rFonts w:ascii="Meiryo UI" w:eastAsia="Meiryo UI" w:hAnsi="Meiryo UI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200"/>
        <w:gridCol w:w="1236"/>
        <w:gridCol w:w="3773"/>
      </w:tblGrid>
      <w:tr w:rsidR="003D3D22" w:rsidRPr="003B6450" w14:paraId="492FE8A8" w14:textId="77777777" w:rsidTr="003B6450">
        <w:tc>
          <w:tcPr>
            <w:tcW w:w="4200" w:type="dxa"/>
          </w:tcPr>
          <w:p w14:paraId="5C0F109D" w14:textId="2EEADF10" w:rsidR="003D3D22" w:rsidRPr="003B6450" w:rsidRDefault="00054DF2" w:rsidP="003D3D2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全弓連　</w:t>
            </w:r>
            <w:r w:rsidR="003D3D22" w:rsidRPr="003B6450">
              <w:rPr>
                <w:rFonts w:ascii="Meiryo UI" w:eastAsia="Meiryo UI" w:hAnsi="Meiryo UI" w:hint="eastAsia"/>
              </w:rPr>
              <w:t>基本計画部会での検討</w:t>
            </w:r>
            <w:r w:rsidR="00BE265E">
              <w:rPr>
                <w:rFonts w:ascii="Meiryo UI" w:eastAsia="Meiryo UI" w:hAnsi="Meiryo UI" w:hint="eastAsia"/>
              </w:rPr>
              <w:t>（報告）</w:t>
            </w:r>
          </w:p>
        </w:tc>
        <w:tc>
          <w:tcPr>
            <w:tcW w:w="1236" w:type="dxa"/>
          </w:tcPr>
          <w:p w14:paraId="48FD366B" w14:textId="48B73EC9" w:rsidR="003D3D22" w:rsidRPr="003B6450" w:rsidRDefault="00AF072A" w:rsidP="00AF072A">
            <w:pPr>
              <w:jc w:val="center"/>
              <w:rPr>
                <w:rFonts w:ascii="Meiryo UI" w:eastAsia="Meiryo UI" w:hAnsi="Meiryo UI"/>
              </w:rPr>
            </w:pPr>
            <w:r w:rsidRPr="003B6450">
              <w:rPr>
                <w:rFonts w:ascii="Meiryo UI" w:eastAsia="Meiryo UI" w:hAnsi="Meiryo UI" w:hint="eastAsia"/>
              </w:rPr>
              <w:t>対象者等</w:t>
            </w:r>
          </w:p>
        </w:tc>
        <w:tc>
          <w:tcPr>
            <w:tcW w:w="3773" w:type="dxa"/>
          </w:tcPr>
          <w:p w14:paraId="351D897A" w14:textId="468B14D2" w:rsidR="003D3D22" w:rsidRPr="003B6450" w:rsidRDefault="00054DF2" w:rsidP="00AF072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二</w:t>
            </w:r>
            <w:r w:rsidR="00AF072A" w:rsidRPr="003B6450">
              <w:rPr>
                <w:rFonts w:ascii="Meiryo UI" w:eastAsia="Meiryo UI" w:hAnsi="Meiryo UI" w:hint="eastAsia"/>
              </w:rPr>
              <w:t>地区</w:t>
            </w:r>
            <w:r>
              <w:rPr>
                <w:rFonts w:ascii="Meiryo UI" w:eastAsia="Meiryo UI" w:hAnsi="Meiryo UI" w:hint="eastAsia"/>
              </w:rPr>
              <w:t>審査会における</w:t>
            </w:r>
            <w:r w:rsidR="00AF072A" w:rsidRPr="003B6450">
              <w:rPr>
                <w:rFonts w:ascii="Meiryo UI" w:eastAsia="Meiryo UI" w:hAnsi="Meiryo UI" w:hint="eastAsia"/>
              </w:rPr>
              <w:t>対応</w:t>
            </w:r>
          </w:p>
        </w:tc>
      </w:tr>
      <w:tr w:rsidR="003D3D22" w:rsidRPr="003B6450" w14:paraId="7CA2598C" w14:textId="77777777" w:rsidTr="003B6450">
        <w:tc>
          <w:tcPr>
            <w:tcW w:w="4200" w:type="dxa"/>
          </w:tcPr>
          <w:p w14:paraId="5737EBAB" w14:textId="77777777" w:rsidR="003D3D22" w:rsidRPr="003B6450" w:rsidRDefault="003D3D22" w:rsidP="003D3D22">
            <w:pPr>
              <w:jc w:val="left"/>
              <w:rPr>
                <w:rFonts w:ascii="BIZ UDPゴシック" w:eastAsia="BIZ UDPゴシック" w:hAnsi="BIZ UDPゴシック"/>
                <w:b/>
                <w:bCs/>
                <w:color w:val="002060"/>
              </w:rPr>
            </w:pPr>
            <w:r w:rsidRPr="003B6450">
              <w:rPr>
                <w:rFonts w:ascii="BIZ UDPゴシック" w:eastAsia="BIZ UDPゴシック" w:hAnsi="BIZ UDPゴシック" w:hint="eastAsia"/>
                <w:b/>
                <w:bCs/>
                <w:color w:val="002060"/>
              </w:rPr>
              <w:t>取矢について</w:t>
            </w:r>
            <w:r w:rsidRPr="003B6450">
              <w:rPr>
                <w:rFonts w:ascii="BIZ UDPゴシック" w:eastAsia="BIZ UDPゴシック" w:hAnsi="BIZ UDPゴシック"/>
                <w:b/>
                <w:bCs/>
                <w:color w:val="002060"/>
              </w:rPr>
              <w:t xml:space="preserve"> </w:t>
            </w:r>
          </w:p>
          <w:p w14:paraId="1758F49D" w14:textId="77777777" w:rsidR="003D3D22" w:rsidRPr="003B6450" w:rsidRDefault="003D3D22" w:rsidP="003D3D22">
            <w:pPr>
              <w:jc w:val="left"/>
              <w:rPr>
                <w:rFonts w:ascii="Meiryo UI" w:eastAsia="Meiryo UI" w:hAnsi="Meiryo UI"/>
              </w:rPr>
            </w:pPr>
            <w:r w:rsidRPr="003B6450">
              <w:rPr>
                <w:rFonts w:ascii="Meiryo UI" w:eastAsia="Meiryo UI" w:hAnsi="Meiryo UI" w:hint="eastAsia"/>
              </w:rPr>
              <w:t>（１）中高生の大会においては行わなくともよいこととする。</w:t>
            </w:r>
          </w:p>
          <w:p w14:paraId="4AACD751" w14:textId="77777777" w:rsidR="003D3D22" w:rsidRPr="003B6450" w:rsidRDefault="003D3D22" w:rsidP="003D3D22">
            <w:pPr>
              <w:jc w:val="left"/>
              <w:rPr>
                <w:rFonts w:ascii="Meiryo UI" w:eastAsia="Meiryo UI" w:hAnsi="Meiryo UI"/>
              </w:rPr>
            </w:pPr>
            <w:r w:rsidRPr="003B6450">
              <w:rPr>
                <w:rFonts w:ascii="Meiryo UI" w:eastAsia="Meiryo UI" w:hAnsi="Meiryo UI" w:hint="eastAsia"/>
              </w:rPr>
              <w:t>（２）</w:t>
            </w:r>
            <w:r w:rsidRPr="003B6450">
              <w:rPr>
                <w:rFonts w:ascii="Meiryo UI" w:eastAsia="Meiryo UI" w:hAnsi="Meiryo UI" w:hint="eastAsia"/>
                <w:b/>
                <w:bCs/>
                <w:u w:val="single"/>
              </w:rPr>
              <w:t>審査会</w:t>
            </w:r>
            <w:r w:rsidRPr="003B6450">
              <w:rPr>
                <w:rFonts w:ascii="Meiryo UI" w:eastAsia="Meiryo UI" w:hAnsi="Meiryo UI" w:hint="eastAsia"/>
              </w:rPr>
              <w:t>においても中高生の弐段までは同様とする。</w:t>
            </w:r>
          </w:p>
          <w:p w14:paraId="502B433A" w14:textId="00140F78" w:rsidR="003D3D22" w:rsidRPr="003B6450" w:rsidRDefault="003D3D22" w:rsidP="003B6450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3B6450">
              <w:rPr>
                <w:rFonts w:ascii="Meiryo UI" w:eastAsia="Meiryo UI" w:hAnsi="Meiryo UI" w:hint="eastAsia"/>
              </w:rPr>
              <w:t>本連盟の競技規則では取矢を行うこととしているが、中高生の大会では取矢を行わなくともよいこととする。各大会要項等でその旨を記載して対応し、競技規則の改定は今後検討する。</w:t>
            </w:r>
          </w:p>
          <w:p w14:paraId="4DFD5EFB" w14:textId="0E701B75" w:rsidR="003D3D22" w:rsidRPr="003B6450" w:rsidRDefault="003D3D22" w:rsidP="003B6450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3B6450">
              <w:rPr>
                <w:rFonts w:ascii="Meiryo UI" w:eastAsia="Meiryo UI" w:hAnsi="Meiryo UI" w:hint="eastAsia"/>
                <w:b/>
                <w:bCs/>
                <w:u w:val="single"/>
              </w:rPr>
              <w:t>審査会</w:t>
            </w:r>
            <w:r w:rsidRPr="003B6450">
              <w:rPr>
                <w:rFonts w:ascii="Meiryo UI" w:eastAsia="Meiryo UI" w:hAnsi="Meiryo UI" w:hint="eastAsia"/>
              </w:rPr>
              <w:t>においても中高生の弐段までは取矢の扱いを同様とする。乙矢のさばき方（置き方）等は特に定めない。</w:t>
            </w:r>
          </w:p>
        </w:tc>
        <w:tc>
          <w:tcPr>
            <w:tcW w:w="1236" w:type="dxa"/>
            <w:vAlign w:val="center"/>
          </w:tcPr>
          <w:p w14:paraId="6FFFDB81" w14:textId="77777777" w:rsidR="003D3D22" w:rsidRDefault="003B6450" w:rsidP="003B6450">
            <w:pPr>
              <w:jc w:val="center"/>
              <w:rPr>
                <w:rFonts w:ascii="Meiryo UI" w:eastAsia="Meiryo UI" w:hAnsi="Meiryo UI"/>
              </w:rPr>
            </w:pPr>
            <w:r w:rsidRPr="003B6450">
              <w:rPr>
                <w:rFonts w:ascii="Meiryo UI" w:eastAsia="Meiryo UI" w:hAnsi="Meiryo UI" w:hint="eastAsia"/>
              </w:rPr>
              <w:t>中高生</w:t>
            </w:r>
          </w:p>
          <w:p w14:paraId="0C3196E2" w14:textId="0C71AD5A" w:rsidR="003B6450" w:rsidRPr="003B6450" w:rsidRDefault="003B6450" w:rsidP="003B64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・審査では弐段まで</w:t>
            </w:r>
          </w:p>
        </w:tc>
        <w:tc>
          <w:tcPr>
            <w:tcW w:w="3773" w:type="dxa"/>
          </w:tcPr>
          <w:p w14:paraId="1D74A635" w14:textId="715E3F40" w:rsidR="001153C6" w:rsidRDefault="009F6D61" w:rsidP="003B645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="001153C6">
              <w:rPr>
                <w:rFonts w:ascii="Meiryo UI" w:eastAsia="Meiryo UI" w:hAnsi="Meiryo UI" w:hint="eastAsia"/>
              </w:rPr>
              <w:t>取り矢をしない場合の所作</w:t>
            </w:r>
            <w:r>
              <w:rPr>
                <w:rFonts w:ascii="Meiryo UI" w:eastAsia="Meiryo UI" w:hAnsi="Meiryo UI" w:hint="eastAsia"/>
              </w:rPr>
              <w:t>】</w:t>
            </w:r>
          </w:p>
          <w:p w14:paraId="52C956CE" w14:textId="5A26CC33" w:rsidR="003D3D22" w:rsidRDefault="003B6450" w:rsidP="003B645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（座射の場合）</w:t>
            </w:r>
          </w:p>
          <w:p w14:paraId="405CB095" w14:textId="77777777" w:rsidR="003B6450" w:rsidRDefault="003B6450" w:rsidP="003B645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・甲矢を番えたあと、弓の向こう側</w:t>
            </w:r>
            <w:r w:rsidR="001153C6">
              <w:rPr>
                <w:rFonts w:ascii="Meiryo UI" w:eastAsia="Meiryo UI" w:hAnsi="Meiryo UI" w:hint="eastAsia"/>
              </w:rPr>
              <w:t>の床に乙矢を置く。</w:t>
            </w:r>
          </w:p>
          <w:p w14:paraId="77D05414" w14:textId="77777777" w:rsidR="001153C6" w:rsidRDefault="001153C6" w:rsidP="003B6450">
            <w:pPr>
              <w:jc w:val="left"/>
              <w:rPr>
                <w:rFonts w:ascii="Meiryo UI" w:eastAsia="Meiryo UI" w:hAnsi="Meiryo UI"/>
              </w:rPr>
            </w:pPr>
          </w:p>
          <w:p w14:paraId="6AB18CB8" w14:textId="77777777" w:rsidR="001153C6" w:rsidRDefault="001153C6" w:rsidP="003B645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（立射の場合）</w:t>
            </w:r>
          </w:p>
          <w:p w14:paraId="65760B74" w14:textId="1EDABCAE" w:rsidR="001153C6" w:rsidRPr="003B6450" w:rsidRDefault="001153C6" w:rsidP="003B645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・足踏みのあと、乙矢を床に置き、甲矢を番える。</w:t>
            </w:r>
          </w:p>
        </w:tc>
      </w:tr>
      <w:tr w:rsidR="003D3D22" w:rsidRPr="003B6450" w14:paraId="784864D1" w14:textId="77777777" w:rsidTr="003B6450">
        <w:tc>
          <w:tcPr>
            <w:tcW w:w="4200" w:type="dxa"/>
          </w:tcPr>
          <w:p w14:paraId="24CA2346" w14:textId="77777777" w:rsidR="003B6450" w:rsidRPr="003B6450" w:rsidRDefault="003B6450" w:rsidP="003B6450">
            <w:pPr>
              <w:jc w:val="left"/>
              <w:rPr>
                <w:rFonts w:ascii="BIZ UDPゴシック" w:eastAsia="BIZ UDPゴシック" w:hAnsi="BIZ UDPゴシック"/>
              </w:rPr>
            </w:pPr>
            <w:r w:rsidRPr="003B6450">
              <w:rPr>
                <w:rFonts w:ascii="BIZ UDPゴシック" w:eastAsia="BIZ UDPゴシック" w:hAnsi="BIZ UDPゴシック" w:hint="eastAsia"/>
                <w:color w:val="002060"/>
              </w:rPr>
              <w:t>大会ならびに</w:t>
            </w:r>
            <w:r w:rsidRPr="003B6450">
              <w:rPr>
                <w:rFonts w:ascii="BIZ UDPゴシック" w:eastAsia="BIZ UDPゴシック" w:hAnsi="BIZ UDPゴシック" w:hint="eastAsia"/>
                <w:b/>
                <w:bCs/>
                <w:color w:val="002060"/>
                <w:u w:val="single"/>
              </w:rPr>
              <w:t>審査会</w:t>
            </w:r>
            <w:r w:rsidRPr="003B6450">
              <w:rPr>
                <w:rFonts w:ascii="BIZ UDPゴシック" w:eastAsia="BIZ UDPゴシック" w:hAnsi="BIZ UDPゴシック" w:hint="eastAsia"/>
                <w:color w:val="002060"/>
              </w:rPr>
              <w:t>における服装の色について</w:t>
            </w:r>
            <w:r w:rsidRPr="003B6450">
              <w:rPr>
                <w:rFonts w:ascii="BIZ UDPゴシック" w:eastAsia="BIZ UDPゴシック" w:hAnsi="BIZ UDPゴシック"/>
              </w:rPr>
              <w:t xml:space="preserve"> </w:t>
            </w:r>
          </w:p>
          <w:p w14:paraId="79B804AD" w14:textId="77777777" w:rsidR="003B6450" w:rsidRPr="003B6450" w:rsidRDefault="003B6450" w:rsidP="003B6450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3B6450">
              <w:rPr>
                <w:rFonts w:ascii="Meiryo UI" w:eastAsia="Meiryo UI" w:hAnsi="Meiryo UI" w:hint="eastAsia"/>
              </w:rPr>
              <w:t>大会では本連盟競技規則、大会要項等において指定された場合を除き、色については問わない。</w:t>
            </w:r>
          </w:p>
          <w:p w14:paraId="7B524C16" w14:textId="23984F4B" w:rsidR="003D3D22" w:rsidRPr="003B6450" w:rsidRDefault="003B6450" w:rsidP="003B6450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3B6450">
              <w:rPr>
                <w:rFonts w:ascii="Meiryo UI" w:eastAsia="Meiryo UI" w:hAnsi="Meiryo UI" w:hint="eastAsia"/>
                <w:b/>
                <w:bCs/>
                <w:u w:val="single"/>
              </w:rPr>
              <w:t>審査会</w:t>
            </w:r>
            <w:r w:rsidRPr="003B6450">
              <w:rPr>
                <w:rFonts w:ascii="Meiryo UI" w:eastAsia="Meiryo UI" w:hAnsi="Meiryo UI" w:hint="eastAsia"/>
              </w:rPr>
              <w:t>も同様とする。</w:t>
            </w:r>
          </w:p>
        </w:tc>
        <w:tc>
          <w:tcPr>
            <w:tcW w:w="1236" w:type="dxa"/>
            <w:vAlign w:val="center"/>
          </w:tcPr>
          <w:p w14:paraId="1F3DEE7E" w14:textId="4A3B22B5" w:rsidR="003B6450" w:rsidRPr="003B6450" w:rsidRDefault="003B6450" w:rsidP="003B64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全員</w:t>
            </w:r>
          </w:p>
        </w:tc>
        <w:tc>
          <w:tcPr>
            <w:tcW w:w="3773" w:type="dxa"/>
          </w:tcPr>
          <w:p w14:paraId="0A061429" w14:textId="77777777" w:rsidR="009F6D61" w:rsidRDefault="009F6D61" w:rsidP="009F6D61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審査規程においては、弓道衣の色の規定はないが、</w:t>
            </w:r>
            <w:r w:rsidR="00BE265E">
              <w:rPr>
                <w:rFonts w:ascii="Meiryo UI" w:eastAsia="Meiryo UI" w:hAnsi="Meiryo UI" w:hint="eastAsia"/>
              </w:rPr>
              <w:t>二地区審査会においては、</w:t>
            </w:r>
            <w:r>
              <w:rPr>
                <w:rFonts w:ascii="Meiryo UI" w:eastAsia="Meiryo UI" w:hAnsi="Meiryo UI" w:hint="eastAsia"/>
              </w:rPr>
              <w:t>原則として白筒袖、黒袴および白足袋とする。</w:t>
            </w:r>
          </w:p>
          <w:p w14:paraId="25F30D0D" w14:textId="5715A07F" w:rsidR="00140CED" w:rsidRPr="003B6450" w:rsidRDefault="00140CED" w:rsidP="009F6D61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140CED">
              <w:rPr>
                <w:rFonts w:ascii="Meiryo UI" w:eastAsia="Meiryo UI" w:hAnsi="Meiryo UI" w:hint="eastAsia"/>
              </w:rPr>
              <w:t>但し、学校等で使用しているカラーの弓道衣も可とする。</w:t>
            </w:r>
          </w:p>
        </w:tc>
      </w:tr>
      <w:tr w:rsidR="003D3D22" w:rsidRPr="003B6450" w14:paraId="18FD0EE7" w14:textId="77777777" w:rsidTr="003B6450">
        <w:tc>
          <w:tcPr>
            <w:tcW w:w="4200" w:type="dxa"/>
          </w:tcPr>
          <w:p w14:paraId="68634BFE" w14:textId="77777777" w:rsidR="003B6450" w:rsidRPr="003B6450" w:rsidRDefault="003B6450" w:rsidP="003B6450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3B6450">
              <w:rPr>
                <w:rFonts w:ascii="Meiryo UI" w:eastAsia="Meiryo UI" w:hAnsi="Meiryo UI"/>
                <w:b/>
                <w:bCs/>
                <w:color w:val="002060"/>
              </w:rPr>
              <w:t>中高生の審査会の服装について</w:t>
            </w:r>
            <w:r w:rsidRPr="003B6450">
              <w:rPr>
                <w:rFonts w:ascii="Meiryo UI" w:eastAsia="Meiryo UI" w:hAnsi="Meiryo UI"/>
                <w:b/>
                <w:bCs/>
              </w:rPr>
              <w:t xml:space="preserve"> </w:t>
            </w:r>
          </w:p>
          <w:p w14:paraId="0C508F81" w14:textId="7E0030F6" w:rsidR="003D3D22" w:rsidRPr="003B6450" w:rsidRDefault="003B6450" w:rsidP="003B6450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 w:rsidRPr="003B6450">
              <w:rPr>
                <w:rFonts w:ascii="Meiryo UI" w:eastAsia="Meiryo UI" w:hAnsi="Meiryo UI"/>
              </w:rPr>
              <w:t>弓道衣（筒袖、袴、足袋）だけでなく、運動着等でも差し支えない。</w:t>
            </w:r>
          </w:p>
        </w:tc>
        <w:tc>
          <w:tcPr>
            <w:tcW w:w="1236" w:type="dxa"/>
            <w:vAlign w:val="center"/>
          </w:tcPr>
          <w:p w14:paraId="099DF8CC" w14:textId="39B6B308" w:rsidR="003D3D22" w:rsidRPr="003B6450" w:rsidRDefault="003B6450" w:rsidP="003B64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中高生</w:t>
            </w:r>
          </w:p>
        </w:tc>
        <w:tc>
          <w:tcPr>
            <w:tcW w:w="3773" w:type="dxa"/>
          </w:tcPr>
          <w:p w14:paraId="0C5E4EAE" w14:textId="6CD90A6B" w:rsidR="003D3D22" w:rsidRPr="003B6450" w:rsidRDefault="009F6D61" w:rsidP="001153C6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二地区審査会において、</w:t>
            </w:r>
            <w:r w:rsidRPr="009F6D61">
              <w:rPr>
                <w:rFonts w:ascii="Meiryo UI" w:eastAsia="Meiryo UI" w:hAnsi="Meiryo UI" w:hint="eastAsia"/>
              </w:rPr>
              <w:t>弓道衣（筒袖、袴、足袋）だけでなく、運動着等でも差し支えない。</w:t>
            </w:r>
          </w:p>
        </w:tc>
      </w:tr>
    </w:tbl>
    <w:p w14:paraId="705D080D" w14:textId="77777777" w:rsidR="00054DF2" w:rsidRDefault="00054DF2" w:rsidP="00054DF2">
      <w:pPr>
        <w:jc w:val="left"/>
        <w:rPr>
          <w:rFonts w:ascii="Meiryo UI" w:eastAsia="Meiryo UI" w:hAnsi="Meiryo UI"/>
        </w:rPr>
      </w:pPr>
    </w:p>
    <w:p w14:paraId="07B7A87D" w14:textId="3E49D337" w:rsidR="003D3D22" w:rsidRDefault="00054DF2" w:rsidP="00054DF2">
      <w:pPr>
        <w:jc w:val="right"/>
      </w:pPr>
      <w:r>
        <w:rPr>
          <w:rFonts w:ascii="Meiryo UI" w:eastAsia="Meiryo UI" w:hAnsi="Meiryo UI" w:hint="eastAsia"/>
        </w:rPr>
        <w:t xml:space="preserve">【本件の問い合わせ先】　　専務理事　畝本孝志　あて　　</w:t>
      </w:r>
      <w:r w:rsidRPr="00054DF2">
        <w:rPr>
          <w:rFonts w:ascii="Meiryo UI" w:eastAsia="Meiryo UI" w:hAnsi="Meiryo UI"/>
        </w:rPr>
        <w:t>Takashi_Azemoto@education.metro.tokyo.jp</w:t>
      </w:r>
    </w:p>
    <w:sectPr w:rsidR="003D3D22" w:rsidSect="00054DF2">
      <w:pgSz w:w="11906" w:h="16838"/>
      <w:pgMar w:top="1560" w:right="1133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22"/>
    <w:rsid w:val="00054DF2"/>
    <w:rsid w:val="001153C6"/>
    <w:rsid w:val="001334A0"/>
    <w:rsid w:val="00140CED"/>
    <w:rsid w:val="003B33EB"/>
    <w:rsid w:val="003B6450"/>
    <w:rsid w:val="003D3D22"/>
    <w:rsid w:val="004149E7"/>
    <w:rsid w:val="00626F1C"/>
    <w:rsid w:val="009F6D61"/>
    <w:rsid w:val="00AF072A"/>
    <w:rsid w:val="00BE265E"/>
    <w:rsid w:val="00E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58D44"/>
  <w15:chartTrackingRefBased/>
  <w15:docId w15:val="{E99A223D-B335-496F-8B4C-B3ABC33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3D22"/>
  </w:style>
  <w:style w:type="character" w:customStyle="1" w:styleId="a4">
    <w:name w:val="日付 (文字)"/>
    <w:basedOn w:val="a0"/>
    <w:link w:val="a3"/>
    <w:uiPriority w:val="99"/>
    <w:semiHidden/>
    <w:rsid w:val="003D3D22"/>
  </w:style>
  <w:style w:type="table" w:styleId="a5">
    <w:name w:val="Table Grid"/>
    <w:basedOn w:val="a1"/>
    <w:uiPriority w:val="39"/>
    <w:rsid w:val="003D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健二 田中</dc:creator>
  <cp:keywords/>
  <dc:description/>
  <cp:lastModifiedBy>美名子 児矢野</cp:lastModifiedBy>
  <cp:revision>2</cp:revision>
  <dcterms:created xsi:type="dcterms:W3CDTF">2023-07-14T01:55:00Z</dcterms:created>
  <dcterms:modified xsi:type="dcterms:W3CDTF">2023-07-14T01:55:00Z</dcterms:modified>
</cp:coreProperties>
</file>